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E73CB" w14:textId="77777777" w:rsidR="00C55E00" w:rsidRDefault="00C55E00" w:rsidP="00C55E00">
      <w:pPr>
        <w:rPr>
          <w:lang w:val="en-US"/>
        </w:rPr>
      </w:pPr>
      <w:r>
        <w:rPr>
          <w:b/>
          <w:noProof/>
          <w:lang w:eastAsia="en-IE"/>
        </w:rPr>
        <mc:AlternateContent>
          <mc:Choice Requires="wps">
            <w:drawing>
              <wp:anchor distT="0" distB="0" distL="114300" distR="114300" simplePos="0" relativeHeight="251659264" behindDoc="0" locked="0" layoutInCell="1" allowOverlap="1" wp14:anchorId="4C647D51" wp14:editId="46285EB2">
                <wp:simplePos x="0" y="0"/>
                <wp:positionH relativeFrom="margin">
                  <wp:align>right</wp:align>
                </wp:positionH>
                <wp:positionV relativeFrom="paragraph">
                  <wp:posOffset>0</wp:posOffset>
                </wp:positionV>
                <wp:extent cx="5721350" cy="6286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721350" cy="628650"/>
                        </a:xfrm>
                        <a:prstGeom prst="rect">
                          <a:avLst/>
                        </a:prstGeom>
                        <a:solidFill>
                          <a:sysClr val="window" lastClr="FFFFFF"/>
                        </a:solidFill>
                        <a:ln w="6350">
                          <a:solidFill>
                            <a:prstClr val="black"/>
                          </a:solidFill>
                        </a:ln>
                      </wps:spPr>
                      <wps:txbx>
                        <w:txbxContent>
                          <w:p w14:paraId="41ABB00A" w14:textId="77777777" w:rsidR="00C55E00" w:rsidRPr="00405CD9" w:rsidRDefault="00527EDD" w:rsidP="00C55E00">
                            <w:pPr>
                              <w:jc w:val="center"/>
                              <w:rPr>
                                <w:b/>
                                <w:sz w:val="24"/>
                                <w:szCs w:val="24"/>
                                <w:lang w:val="en-US"/>
                              </w:rPr>
                            </w:pPr>
                            <w:r>
                              <w:rPr>
                                <w:b/>
                                <w:sz w:val="24"/>
                                <w:szCs w:val="24"/>
                                <w:lang w:val="en-US"/>
                              </w:rPr>
                              <w:t>Development of</w:t>
                            </w:r>
                            <w:r w:rsidR="00C55E00" w:rsidRPr="00405CD9">
                              <w:rPr>
                                <w:b/>
                                <w:sz w:val="24"/>
                                <w:szCs w:val="24"/>
                                <w:lang w:val="en-US"/>
                              </w:rPr>
                              <w:t xml:space="preserve"> Anti-Social </w:t>
                            </w:r>
                            <w:proofErr w:type="spellStart"/>
                            <w:r w:rsidR="00C55E00" w:rsidRPr="00405CD9">
                              <w:rPr>
                                <w:b/>
                                <w:sz w:val="24"/>
                                <w:szCs w:val="24"/>
                                <w:lang w:val="en-US"/>
                              </w:rPr>
                              <w:t>Behaviour</w:t>
                            </w:r>
                            <w:proofErr w:type="spellEnd"/>
                            <w:r w:rsidR="00C55E00" w:rsidRPr="00405CD9">
                              <w:rPr>
                                <w:b/>
                                <w:sz w:val="24"/>
                                <w:szCs w:val="24"/>
                                <w:lang w:val="en-US"/>
                              </w:rPr>
                              <w:t xml:space="preserve"> Strategy</w:t>
                            </w:r>
                          </w:p>
                          <w:p w14:paraId="728D5622" w14:textId="77777777" w:rsidR="00C55E00" w:rsidRDefault="00527EDD" w:rsidP="00C55E00">
                            <w:pPr>
                              <w:jc w:val="center"/>
                              <w:rPr>
                                <w:b/>
                                <w:sz w:val="24"/>
                                <w:szCs w:val="24"/>
                                <w:lang w:val="en-US"/>
                              </w:rPr>
                            </w:pPr>
                            <w:r>
                              <w:rPr>
                                <w:b/>
                                <w:sz w:val="24"/>
                                <w:szCs w:val="24"/>
                                <w:lang w:val="en-US"/>
                              </w:rPr>
                              <w:t xml:space="preserve">JPC Meeting </w:t>
                            </w:r>
                            <w:proofErr w:type="gramStart"/>
                            <w:r>
                              <w:rPr>
                                <w:b/>
                                <w:sz w:val="24"/>
                                <w:szCs w:val="24"/>
                                <w:lang w:val="en-US"/>
                              </w:rPr>
                              <w:t>– 23</w:t>
                            </w:r>
                            <w:r w:rsidRPr="00527EDD">
                              <w:rPr>
                                <w:b/>
                                <w:sz w:val="24"/>
                                <w:szCs w:val="24"/>
                                <w:vertAlign w:val="superscript"/>
                                <w:lang w:val="en-US"/>
                              </w:rPr>
                              <w:t>rd</w:t>
                            </w:r>
                            <w:proofErr w:type="gramEnd"/>
                            <w:r>
                              <w:rPr>
                                <w:b/>
                                <w:sz w:val="24"/>
                                <w:szCs w:val="24"/>
                                <w:lang w:val="en-US"/>
                              </w:rPr>
                              <w:t xml:space="preserve"> September</w:t>
                            </w:r>
                            <w:r w:rsidR="00C55E00" w:rsidRPr="00405CD9">
                              <w:rPr>
                                <w:b/>
                                <w:sz w:val="24"/>
                                <w:szCs w:val="24"/>
                                <w:lang w:val="en-US"/>
                              </w:rPr>
                              <w:t xml:space="preserve"> 2022</w:t>
                            </w:r>
                          </w:p>
                          <w:p w14:paraId="332E42C6" w14:textId="77777777" w:rsidR="00C55E00" w:rsidRDefault="00C55E00" w:rsidP="00C55E00">
                            <w:pPr>
                              <w:jc w:val="center"/>
                              <w:rPr>
                                <w:b/>
                                <w:sz w:val="24"/>
                                <w:szCs w:val="24"/>
                                <w:lang w:val="en-US"/>
                              </w:rPr>
                            </w:pPr>
                          </w:p>
                          <w:p w14:paraId="10C4797A" w14:textId="77777777" w:rsidR="00C55E00" w:rsidRDefault="00C55E00" w:rsidP="00C55E00">
                            <w:pPr>
                              <w:jc w:val="center"/>
                              <w:rPr>
                                <w:b/>
                                <w:sz w:val="24"/>
                                <w:szCs w:val="24"/>
                                <w:lang w:val="en-US"/>
                              </w:rPr>
                            </w:pPr>
                          </w:p>
                          <w:p w14:paraId="5C75051A" w14:textId="77777777" w:rsidR="00C55E00" w:rsidRPr="00405CD9" w:rsidRDefault="00C55E00" w:rsidP="00C55E00">
                            <w:pPr>
                              <w:jc w:val="center"/>
                              <w:rPr>
                                <w:b/>
                                <w:sz w:val="24"/>
                                <w:szCs w:val="24"/>
                                <w:lang w:val="en-US"/>
                              </w:rPr>
                            </w:pPr>
                          </w:p>
                          <w:p w14:paraId="105190BD" w14:textId="77777777" w:rsidR="00C55E00" w:rsidRDefault="00C55E00" w:rsidP="00C55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7D51" id="_x0000_t202" coordsize="21600,21600" o:spt="202" path="m,l,21600r21600,l21600,xe">
                <v:stroke joinstyle="miter"/>
                <v:path gradientshapeok="t" o:connecttype="rect"/>
              </v:shapetype>
              <v:shape id="Text Box 1" o:spid="_x0000_s1026" type="#_x0000_t202" style="position:absolute;margin-left:399.3pt;margin-top:0;width:450.5pt;height:4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" fillcolor="window" strokeweight=".5pt">
                <v:textbox>
                  <w:txbxContent>
                    <w:p w:rsidR="00C55E00" w:rsidRPr="00405CD9" w:rsidRDefault="00527EDD" w:rsidP="00C55E00">
                      <w:pPr>
                        <w:jc w:val="center"/>
                        <w:rPr>
                          <w:b/>
                          <w:sz w:val="24"/>
                          <w:szCs w:val="24"/>
                          <w:lang w:val="en-US"/>
                        </w:rPr>
                      </w:pPr>
                      <w:r>
                        <w:rPr>
                          <w:b/>
                          <w:sz w:val="24"/>
                          <w:szCs w:val="24"/>
                          <w:lang w:val="en-US"/>
                        </w:rPr>
                        <w:t>Development of</w:t>
                      </w:r>
                      <w:r w:rsidR="00C55E00" w:rsidRPr="00405CD9">
                        <w:rPr>
                          <w:b/>
                          <w:sz w:val="24"/>
                          <w:szCs w:val="24"/>
                          <w:lang w:val="en-US"/>
                        </w:rPr>
                        <w:t xml:space="preserve"> Anti-Social </w:t>
                      </w:r>
                      <w:proofErr w:type="spellStart"/>
                      <w:r w:rsidR="00C55E00" w:rsidRPr="00405CD9">
                        <w:rPr>
                          <w:b/>
                          <w:sz w:val="24"/>
                          <w:szCs w:val="24"/>
                          <w:lang w:val="en-US"/>
                        </w:rPr>
                        <w:t>Behaviour</w:t>
                      </w:r>
                      <w:proofErr w:type="spellEnd"/>
                      <w:r w:rsidR="00C55E00" w:rsidRPr="00405CD9">
                        <w:rPr>
                          <w:b/>
                          <w:sz w:val="24"/>
                          <w:szCs w:val="24"/>
                          <w:lang w:val="en-US"/>
                        </w:rPr>
                        <w:t xml:space="preserve"> Strategy</w:t>
                      </w:r>
                    </w:p>
                    <w:p w:rsidR="00C55E00" w:rsidRDefault="00527EDD" w:rsidP="00C55E00">
                      <w:pPr>
                        <w:jc w:val="center"/>
                        <w:rPr>
                          <w:b/>
                          <w:sz w:val="24"/>
                          <w:szCs w:val="24"/>
                          <w:lang w:val="en-US"/>
                        </w:rPr>
                      </w:pPr>
                      <w:r>
                        <w:rPr>
                          <w:b/>
                          <w:sz w:val="24"/>
                          <w:szCs w:val="24"/>
                          <w:lang w:val="en-US"/>
                        </w:rPr>
                        <w:t xml:space="preserve">JPC Meeting </w:t>
                      </w:r>
                      <w:proofErr w:type="gramStart"/>
                      <w:r>
                        <w:rPr>
                          <w:b/>
                          <w:sz w:val="24"/>
                          <w:szCs w:val="24"/>
                          <w:lang w:val="en-US"/>
                        </w:rPr>
                        <w:t>– 23</w:t>
                      </w:r>
                      <w:r w:rsidRPr="00527EDD">
                        <w:rPr>
                          <w:b/>
                          <w:sz w:val="24"/>
                          <w:szCs w:val="24"/>
                          <w:vertAlign w:val="superscript"/>
                          <w:lang w:val="en-US"/>
                        </w:rPr>
                        <w:t>rd</w:t>
                      </w:r>
                      <w:proofErr w:type="gramEnd"/>
                      <w:r>
                        <w:rPr>
                          <w:b/>
                          <w:sz w:val="24"/>
                          <w:szCs w:val="24"/>
                          <w:lang w:val="en-US"/>
                        </w:rPr>
                        <w:t xml:space="preserve"> September</w:t>
                      </w:r>
                      <w:r w:rsidR="00C55E00" w:rsidRPr="00405CD9">
                        <w:rPr>
                          <w:b/>
                          <w:sz w:val="24"/>
                          <w:szCs w:val="24"/>
                          <w:lang w:val="en-US"/>
                        </w:rPr>
                        <w:t xml:space="preserve"> 2022</w:t>
                      </w:r>
                    </w:p>
                    <w:p w:rsidR="00C55E00" w:rsidRDefault="00C55E00" w:rsidP="00C55E00">
                      <w:pPr>
                        <w:jc w:val="center"/>
                        <w:rPr>
                          <w:b/>
                          <w:sz w:val="24"/>
                          <w:szCs w:val="24"/>
                          <w:lang w:val="en-US"/>
                        </w:rPr>
                      </w:pPr>
                    </w:p>
                    <w:p w:rsidR="00C55E00" w:rsidRDefault="00C55E00" w:rsidP="00C55E00">
                      <w:pPr>
                        <w:jc w:val="center"/>
                        <w:rPr>
                          <w:b/>
                          <w:sz w:val="24"/>
                          <w:szCs w:val="24"/>
                          <w:lang w:val="en-US"/>
                        </w:rPr>
                      </w:pPr>
                    </w:p>
                    <w:p w:rsidR="00C55E00" w:rsidRPr="00405CD9" w:rsidRDefault="00C55E00" w:rsidP="00C55E00">
                      <w:pPr>
                        <w:jc w:val="center"/>
                        <w:rPr>
                          <w:b/>
                          <w:sz w:val="24"/>
                          <w:szCs w:val="24"/>
                          <w:lang w:val="en-US"/>
                        </w:rPr>
                      </w:pPr>
                    </w:p>
                    <w:p w:rsidR="00C55E00" w:rsidRDefault="00C55E00" w:rsidP="00C55E00"/>
                  </w:txbxContent>
                </v:textbox>
                <w10:wrap anchorx="margin"/>
              </v:shape>
            </w:pict>
          </mc:Fallback>
        </mc:AlternateContent>
      </w:r>
    </w:p>
    <w:p w14:paraId="242A516B" w14:textId="77777777" w:rsidR="00C55E00" w:rsidRDefault="00C55E00" w:rsidP="00C55E00">
      <w:pPr>
        <w:rPr>
          <w:lang w:val="en-US"/>
        </w:rPr>
      </w:pPr>
    </w:p>
    <w:p w14:paraId="0682368A" w14:textId="77777777" w:rsidR="00C55E00" w:rsidRDefault="00C55E00" w:rsidP="00C55E00">
      <w:pPr>
        <w:rPr>
          <w:lang w:val="en-US"/>
        </w:rPr>
      </w:pPr>
    </w:p>
    <w:p w14:paraId="4C72F63E" w14:textId="77777777" w:rsidR="00711F62" w:rsidRDefault="00711F62" w:rsidP="00C55E00">
      <w:pPr>
        <w:rPr>
          <w:lang w:val="en-US"/>
        </w:rPr>
      </w:pPr>
    </w:p>
    <w:p w14:paraId="715D8582" w14:textId="77777777" w:rsidR="00C55E00" w:rsidRDefault="00C55E00" w:rsidP="00C55E00">
      <w:pPr>
        <w:rPr>
          <w:lang w:val="en-US"/>
        </w:rPr>
      </w:pPr>
      <w:r>
        <w:rPr>
          <w:lang w:val="en-US"/>
        </w:rPr>
        <w:t>Section 35 of the Miscellaneous Provisions Act 2009 makes provi</w:t>
      </w:r>
      <w:r w:rsidR="00A900E7">
        <w:rPr>
          <w:lang w:val="en-US"/>
        </w:rPr>
        <w:t>sion for the preparation of an a</w:t>
      </w:r>
      <w:r>
        <w:rPr>
          <w:lang w:val="en-US"/>
        </w:rPr>
        <w:t xml:space="preserve">nti-social behaviour strategy by a Housing Authority in respect of those parts of its administrative area in which are situated -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gridCol w:w="9014"/>
      </w:tblGrid>
      <w:tr w:rsidR="00C55E00" w:rsidRPr="00B90F15" w14:paraId="15A27D20" w14:textId="77777777" w:rsidTr="00483891">
        <w:tc>
          <w:tcPr>
            <w:tcW w:w="0" w:type="auto"/>
            <w:shd w:val="clear" w:color="auto" w:fill="FFFFFF"/>
            <w:tcMar>
              <w:top w:w="0" w:type="dxa"/>
              <w:left w:w="0" w:type="dxa"/>
              <w:bottom w:w="0" w:type="dxa"/>
              <w:right w:w="0" w:type="dxa"/>
            </w:tcMar>
            <w:hideMark/>
          </w:tcPr>
          <w:p w14:paraId="2BD7B607" w14:textId="77777777" w:rsidR="00C55E00" w:rsidRPr="00B90F15" w:rsidRDefault="00C55E00" w:rsidP="00483891">
            <w:pPr>
              <w:rPr>
                <w:rFonts w:eastAsia="Times New Roman" w:cstheme="minorHAnsi"/>
                <w:color w:val="000000" w:themeColor="text1"/>
                <w:lang w:eastAsia="en-IE"/>
              </w:rPr>
            </w:pPr>
            <w:bookmarkStart w:id="0" w:name="s35._p1"/>
            <w:bookmarkEnd w:id="0"/>
          </w:p>
        </w:tc>
        <w:tc>
          <w:tcPr>
            <w:tcW w:w="0" w:type="auto"/>
            <w:shd w:val="clear" w:color="auto" w:fill="FFFFFF"/>
            <w:tcMar>
              <w:top w:w="0" w:type="dxa"/>
              <w:left w:w="0" w:type="dxa"/>
              <w:bottom w:w="0" w:type="dxa"/>
              <w:right w:w="0" w:type="dxa"/>
            </w:tcMar>
            <w:vAlign w:val="center"/>
            <w:hideMark/>
          </w:tcPr>
          <w:p w14:paraId="0D6EF04E" w14:textId="77777777" w:rsidR="00C55E00" w:rsidRPr="00B90F15" w:rsidRDefault="00C55E00" w:rsidP="00483891">
            <w:pPr>
              <w:spacing w:after="0" w:line="240" w:lineRule="auto"/>
              <w:rPr>
                <w:rFonts w:eastAsia="Times New Roman" w:cstheme="minorHAnsi"/>
                <w:color w:val="000000" w:themeColor="text1"/>
                <w:lang w:eastAsia="en-IE"/>
              </w:rPr>
            </w:pPr>
          </w:p>
        </w:tc>
        <w:tc>
          <w:tcPr>
            <w:tcW w:w="0" w:type="auto"/>
            <w:shd w:val="clear" w:color="auto" w:fill="FFFFFF"/>
            <w:tcMar>
              <w:top w:w="0" w:type="dxa"/>
              <w:left w:w="0" w:type="dxa"/>
              <w:bottom w:w="0" w:type="dxa"/>
              <w:right w:w="0" w:type="dxa"/>
            </w:tcMar>
            <w:vAlign w:val="center"/>
            <w:hideMark/>
          </w:tcPr>
          <w:p w14:paraId="740597EE" w14:textId="77777777" w:rsidR="00C55E00" w:rsidRPr="00B90F15" w:rsidRDefault="00C55E00" w:rsidP="00483891">
            <w:pPr>
              <w:spacing w:before="120" w:after="150" w:line="240" w:lineRule="auto"/>
              <w:ind w:left="1440" w:hanging="480"/>
              <w:rPr>
                <w:rFonts w:eastAsia="Times New Roman" w:cstheme="minorHAnsi"/>
                <w:color w:val="000000" w:themeColor="text1"/>
                <w:lang w:eastAsia="en-IE"/>
              </w:rPr>
            </w:pPr>
            <w:r w:rsidRPr="00B90F15">
              <w:rPr>
                <w:rFonts w:eastAsia="Times New Roman" w:cstheme="minorHAnsi"/>
                <w:color w:val="000000" w:themeColor="text1"/>
                <w:lang w:eastAsia="en-IE"/>
              </w:rPr>
              <w:t>(</w:t>
            </w:r>
            <w:r w:rsidRPr="00B90F15">
              <w:rPr>
                <w:rFonts w:eastAsia="Times New Roman" w:cstheme="minorHAnsi"/>
                <w:i/>
                <w:iCs/>
                <w:color w:val="000000" w:themeColor="text1"/>
                <w:lang w:eastAsia="en-IE"/>
              </w:rPr>
              <w:t>a</w:t>
            </w:r>
            <w:r w:rsidRPr="00B90F15">
              <w:rPr>
                <w:rFonts w:eastAsia="Times New Roman" w:cstheme="minorHAnsi"/>
                <w:color w:val="000000" w:themeColor="text1"/>
                <w:lang w:eastAsia="en-IE"/>
              </w:rPr>
              <w:t>) dwellings let by the housing authority to tenants under the </w:t>
            </w:r>
            <w:r w:rsidRPr="00B90F15">
              <w:rPr>
                <w:rFonts w:eastAsia="Times New Roman" w:cstheme="minorHAnsi"/>
                <w:i/>
                <w:iCs/>
                <w:color w:val="000000" w:themeColor="text1"/>
                <w:lang w:eastAsia="en-IE"/>
              </w:rPr>
              <w:t>Housing Acts 1966 to 2009</w:t>
            </w:r>
            <w:r w:rsidRPr="00B90F15">
              <w:rPr>
                <w:rFonts w:eastAsia="Times New Roman" w:cstheme="minorHAnsi"/>
                <w:color w:val="000000" w:themeColor="text1"/>
                <w:lang w:eastAsia="en-IE"/>
              </w:rPr>
              <w:t>,</w:t>
            </w:r>
          </w:p>
        </w:tc>
      </w:tr>
      <w:tr w:rsidR="00C55E00" w:rsidRPr="00B90F15" w14:paraId="37B73CA0" w14:textId="77777777" w:rsidTr="00483891">
        <w:tc>
          <w:tcPr>
            <w:tcW w:w="0" w:type="auto"/>
            <w:shd w:val="clear" w:color="auto" w:fill="FFFFFF"/>
            <w:tcMar>
              <w:top w:w="0" w:type="dxa"/>
              <w:left w:w="0" w:type="dxa"/>
              <w:bottom w:w="0" w:type="dxa"/>
              <w:right w:w="0" w:type="dxa"/>
            </w:tcMar>
            <w:hideMark/>
          </w:tcPr>
          <w:p w14:paraId="15A6EB40" w14:textId="77777777" w:rsidR="00C55E00" w:rsidRPr="00B90F15" w:rsidRDefault="00C55E00" w:rsidP="00483891">
            <w:pPr>
              <w:spacing w:after="0" w:line="240" w:lineRule="auto"/>
              <w:rPr>
                <w:rFonts w:eastAsia="Times New Roman" w:cstheme="minorHAnsi"/>
                <w:color w:val="000000" w:themeColor="text1"/>
                <w:lang w:eastAsia="en-IE"/>
              </w:rPr>
            </w:pPr>
            <w:bookmarkStart w:id="1" w:name="s35._p2"/>
            <w:bookmarkEnd w:id="1"/>
          </w:p>
        </w:tc>
        <w:tc>
          <w:tcPr>
            <w:tcW w:w="0" w:type="auto"/>
            <w:shd w:val="clear" w:color="auto" w:fill="FFFFFF"/>
            <w:tcMar>
              <w:top w:w="0" w:type="dxa"/>
              <w:left w:w="0" w:type="dxa"/>
              <w:bottom w:w="0" w:type="dxa"/>
              <w:right w:w="0" w:type="dxa"/>
            </w:tcMar>
            <w:vAlign w:val="center"/>
            <w:hideMark/>
          </w:tcPr>
          <w:p w14:paraId="3F9BB9B0" w14:textId="77777777" w:rsidR="00C55E00" w:rsidRPr="00B90F15" w:rsidRDefault="00C55E00" w:rsidP="00483891">
            <w:pPr>
              <w:spacing w:after="0" w:line="240" w:lineRule="auto"/>
              <w:rPr>
                <w:rFonts w:eastAsia="Times New Roman" w:cstheme="minorHAnsi"/>
                <w:color w:val="000000" w:themeColor="text1"/>
                <w:lang w:eastAsia="en-IE"/>
              </w:rPr>
            </w:pPr>
          </w:p>
        </w:tc>
        <w:tc>
          <w:tcPr>
            <w:tcW w:w="0" w:type="auto"/>
            <w:shd w:val="clear" w:color="auto" w:fill="FFFFFF"/>
            <w:tcMar>
              <w:top w:w="0" w:type="dxa"/>
              <w:left w:w="0" w:type="dxa"/>
              <w:bottom w:w="0" w:type="dxa"/>
              <w:right w:w="0" w:type="dxa"/>
            </w:tcMar>
            <w:vAlign w:val="center"/>
            <w:hideMark/>
          </w:tcPr>
          <w:p w14:paraId="542F5AB2" w14:textId="77777777" w:rsidR="00C55E00" w:rsidRPr="00B90F15" w:rsidRDefault="00C55E00" w:rsidP="00483891">
            <w:pPr>
              <w:spacing w:before="120" w:after="150" w:line="240" w:lineRule="auto"/>
              <w:ind w:left="1440" w:hanging="480"/>
              <w:rPr>
                <w:rFonts w:eastAsia="Times New Roman" w:cstheme="minorHAnsi"/>
                <w:color w:val="000000" w:themeColor="text1"/>
                <w:lang w:eastAsia="en-IE"/>
              </w:rPr>
            </w:pPr>
            <w:r w:rsidRPr="00B90F15">
              <w:rPr>
                <w:rFonts w:eastAsia="Times New Roman" w:cstheme="minorHAnsi"/>
                <w:color w:val="000000" w:themeColor="text1"/>
                <w:lang w:eastAsia="en-IE"/>
              </w:rPr>
              <w:t>(</w:t>
            </w:r>
            <w:r w:rsidRPr="00B90F15">
              <w:rPr>
                <w:rFonts w:eastAsia="Times New Roman" w:cstheme="minorHAnsi"/>
                <w:i/>
                <w:iCs/>
                <w:color w:val="000000" w:themeColor="text1"/>
                <w:lang w:eastAsia="en-IE"/>
              </w:rPr>
              <w:t>b</w:t>
            </w:r>
            <w:r w:rsidRPr="00B90F15">
              <w:rPr>
                <w:rFonts w:eastAsia="Times New Roman" w:cstheme="minorHAnsi"/>
                <w:color w:val="000000" w:themeColor="text1"/>
                <w:lang w:eastAsia="en-IE"/>
              </w:rPr>
              <w:t>) dwellings which are the subject of </w:t>
            </w:r>
            <w:r w:rsidRPr="00B90F15">
              <w:rPr>
                <w:rFonts w:eastAsia="Times New Roman" w:cstheme="minorHAnsi"/>
                <w:i/>
                <w:iCs/>
                <w:color w:val="000000" w:themeColor="text1"/>
                <w:lang w:eastAsia="en-IE"/>
              </w:rPr>
              <w:t>Chapter 4</w:t>
            </w:r>
            <w:r w:rsidRPr="00B90F15">
              <w:rPr>
                <w:rFonts w:eastAsia="Times New Roman" w:cstheme="minorHAnsi"/>
                <w:color w:val="000000" w:themeColor="text1"/>
                <w:lang w:eastAsia="en-IE"/>
              </w:rPr>
              <w:t> tenancy agreements,</w:t>
            </w:r>
          </w:p>
        </w:tc>
      </w:tr>
      <w:tr w:rsidR="00C55E00" w:rsidRPr="00B90F15" w14:paraId="29D39C50" w14:textId="77777777" w:rsidTr="00483891">
        <w:tc>
          <w:tcPr>
            <w:tcW w:w="0" w:type="auto"/>
            <w:shd w:val="clear" w:color="auto" w:fill="FFFFFF"/>
            <w:tcMar>
              <w:top w:w="0" w:type="dxa"/>
              <w:left w:w="0" w:type="dxa"/>
              <w:bottom w:w="0" w:type="dxa"/>
              <w:right w:w="0" w:type="dxa"/>
            </w:tcMar>
            <w:hideMark/>
          </w:tcPr>
          <w:p w14:paraId="0B9D976D" w14:textId="77777777" w:rsidR="00C55E00" w:rsidRPr="00B90F15" w:rsidRDefault="00C55E00" w:rsidP="00483891">
            <w:pPr>
              <w:spacing w:after="0" w:line="240" w:lineRule="auto"/>
              <w:rPr>
                <w:rFonts w:eastAsia="Times New Roman" w:cstheme="minorHAnsi"/>
                <w:color w:val="000000" w:themeColor="text1"/>
                <w:lang w:eastAsia="en-IE"/>
              </w:rPr>
            </w:pPr>
            <w:bookmarkStart w:id="2" w:name="s35._p3"/>
            <w:bookmarkEnd w:id="2"/>
          </w:p>
        </w:tc>
        <w:tc>
          <w:tcPr>
            <w:tcW w:w="0" w:type="auto"/>
            <w:shd w:val="clear" w:color="auto" w:fill="FFFFFF"/>
            <w:tcMar>
              <w:top w:w="0" w:type="dxa"/>
              <w:left w:w="0" w:type="dxa"/>
              <w:bottom w:w="0" w:type="dxa"/>
              <w:right w:w="0" w:type="dxa"/>
            </w:tcMar>
            <w:vAlign w:val="center"/>
            <w:hideMark/>
          </w:tcPr>
          <w:p w14:paraId="37C6E725" w14:textId="77777777" w:rsidR="00C55E00" w:rsidRPr="00B90F15" w:rsidRDefault="00C55E00" w:rsidP="00483891">
            <w:pPr>
              <w:spacing w:after="0" w:line="240" w:lineRule="auto"/>
              <w:rPr>
                <w:rFonts w:eastAsia="Times New Roman" w:cstheme="minorHAnsi"/>
                <w:color w:val="000000" w:themeColor="text1"/>
                <w:lang w:eastAsia="en-IE"/>
              </w:rPr>
            </w:pPr>
          </w:p>
        </w:tc>
        <w:tc>
          <w:tcPr>
            <w:tcW w:w="0" w:type="auto"/>
            <w:shd w:val="clear" w:color="auto" w:fill="FFFFFF"/>
            <w:tcMar>
              <w:top w:w="0" w:type="dxa"/>
              <w:left w:w="0" w:type="dxa"/>
              <w:bottom w:w="0" w:type="dxa"/>
              <w:right w:w="0" w:type="dxa"/>
            </w:tcMar>
            <w:vAlign w:val="center"/>
            <w:hideMark/>
          </w:tcPr>
          <w:p w14:paraId="649E5945" w14:textId="77777777" w:rsidR="00C55E00" w:rsidRPr="00B90F15" w:rsidRDefault="00C55E00" w:rsidP="00483891">
            <w:pPr>
              <w:spacing w:before="120" w:after="150" w:line="240" w:lineRule="auto"/>
              <w:ind w:left="1440" w:hanging="480"/>
              <w:rPr>
                <w:rFonts w:eastAsia="Times New Roman" w:cstheme="minorHAnsi"/>
                <w:color w:val="000000" w:themeColor="text1"/>
                <w:lang w:eastAsia="en-IE"/>
              </w:rPr>
            </w:pPr>
            <w:r w:rsidRPr="00B90F15">
              <w:rPr>
                <w:rFonts w:eastAsia="Times New Roman" w:cstheme="minorHAnsi"/>
                <w:color w:val="000000" w:themeColor="text1"/>
                <w:lang w:eastAsia="en-IE"/>
              </w:rPr>
              <w:t>(</w:t>
            </w:r>
            <w:r w:rsidRPr="00B90F15">
              <w:rPr>
                <w:rFonts w:eastAsia="Times New Roman" w:cstheme="minorHAnsi"/>
                <w:i/>
                <w:iCs/>
                <w:color w:val="000000" w:themeColor="text1"/>
                <w:lang w:eastAsia="en-IE"/>
              </w:rPr>
              <w:t>c</w:t>
            </w:r>
            <w:r w:rsidRPr="00B90F15">
              <w:rPr>
                <w:rFonts w:eastAsia="Times New Roman" w:cstheme="minorHAnsi"/>
                <w:color w:val="000000" w:themeColor="text1"/>
                <w:lang w:eastAsia="en-IE"/>
              </w:rPr>
              <w:t>) dwellings in which relevant purchasers (within the meaning of section 1 of the Act of 1997) reside, and</w:t>
            </w:r>
          </w:p>
        </w:tc>
      </w:tr>
      <w:tr w:rsidR="00C55E00" w:rsidRPr="00B90F15" w14:paraId="0FC08470" w14:textId="77777777" w:rsidTr="00483891">
        <w:tc>
          <w:tcPr>
            <w:tcW w:w="0" w:type="auto"/>
            <w:shd w:val="clear" w:color="auto" w:fill="FFFFFF"/>
            <w:tcMar>
              <w:top w:w="0" w:type="dxa"/>
              <w:left w:w="0" w:type="dxa"/>
              <w:bottom w:w="0" w:type="dxa"/>
              <w:right w:w="0" w:type="dxa"/>
            </w:tcMar>
            <w:hideMark/>
          </w:tcPr>
          <w:p w14:paraId="36206049" w14:textId="77777777" w:rsidR="00C55E00" w:rsidRPr="00B90F15" w:rsidRDefault="00C55E00" w:rsidP="00483891">
            <w:pPr>
              <w:spacing w:after="0" w:line="240" w:lineRule="auto"/>
              <w:rPr>
                <w:rFonts w:eastAsia="Times New Roman" w:cstheme="minorHAnsi"/>
                <w:color w:val="000000" w:themeColor="text1"/>
                <w:lang w:eastAsia="en-IE"/>
              </w:rPr>
            </w:pPr>
            <w:bookmarkStart w:id="3" w:name="s35._p4"/>
            <w:bookmarkEnd w:id="3"/>
          </w:p>
        </w:tc>
        <w:tc>
          <w:tcPr>
            <w:tcW w:w="0" w:type="auto"/>
            <w:shd w:val="clear" w:color="auto" w:fill="FFFFFF"/>
            <w:tcMar>
              <w:top w:w="0" w:type="dxa"/>
              <w:left w:w="0" w:type="dxa"/>
              <w:bottom w:w="0" w:type="dxa"/>
              <w:right w:w="0" w:type="dxa"/>
            </w:tcMar>
            <w:vAlign w:val="center"/>
            <w:hideMark/>
          </w:tcPr>
          <w:p w14:paraId="131AA557" w14:textId="77777777" w:rsidR="00C55E00" w:rsidRPr="00B90F15" w:rsidRDefault="00C55E00" w:rsidP="00483891">
            <w:pPr>
              <w:spacing w:after="0" w:line="240" w:lineRule="auto"/>
              <w:rPr>
                <w:rFonts w:eastAsia="Times New Roman" w:cstheme="minorHAnsi"/>
                <w:color w:val="000000" w:themeColor="text1"/>
                <w:lang w:eastAsia="en-IE"/>
              </w:rPr>
            </w:pPr>
          </w:p>
        </w:tc>
        <w:tc>
          <w:tcPr>
            <w:tcW w:w="0" w:type="auto"/>
            <w:shd w:val="clear" w:color="auto" w:fill="FFFFFF"/>
            <w:tcMar>
              <w:top w:w="0" w:type="dxa"/>
              <w:left w:w="0" w:type="dxa"/>
              <w:bottom w:w="0" w:type="dxa"/>
              <w:right w:w="0" w:type="dxa"/>
            </w:tcMar>
            <w:vAlign w:val="center"/>
            <w:hideMark/>
          </w:tcPr>
          <w:p w14:paraId="0045C5C3" w14:textId="77777777" w:rsidR="00C55E00" w:rsidRPr="00B90F15" w:rsidRDefault="00C55E00" w:rsidP="00483891">
            <w:pPr>
              <w:spacing w:before="120" w:after="150" w:line="240" w:lineRule="auto"/>
              <w:ind w:left="1440" w:hanging="480"/>
              <w:rPr>
                <w:rFonts w:eastAsia="Times New Roman" w:cstheme="minorHAnsi"/>
                <w:color w:val="000000" w:themeColor="text1"/>
                <w:lang w:eastAsia="en-IE"/>
              </w:rPr>
            </w:pPr>
            <w:r w:rsidRPr="00B90F15">
              <w:rPr>
                <w:rFonts w:eastAsia="Times New Roman" w:cstheme="minorHAnsi"/>
                <w:color w:val="000000" w:themeColor="text1"/>
                <w:lang w:eastAsia="en-IE"/>
              </w:rPr>
              <w:t>(</w:t>
            </w:r>
            <w:r w:rsidRPr="00B90F15">
              <w:rPr>
                <w:rFonts w:eastAsia="Times New Roman" w:cstheme="minorHAnsi"/>
                <w:i/>
                <w:iCs/>
                <w:color w:val="000000" w:themeColor="text1"/>
                <w:lang w:eastAsia="en-IE"/>
              </w:rPr>
              <w:t>d</w:t>
            </w:r>
            <w:r w:rsidRPr="00B90F15">
              <w:rPr>
                <w:rFonts w:eastAsia="Times New Roman" w:cstheme="minorHAnsi"/>
                <w:color w:val="000000" w:themeColor="text1"/>
                <w:lang w:eastAsia="en-IE"/>
              </w:rPr>
              <w:t xml:space="preserve">) </w:t>
            </w:r>
            <w:proofErr w:type="gramStart"/>
            <w:r w:rsidRPr="00B90F15">
              <w:rPr>
                <w:rFonts w:eastAsia="Times New Roman" w:cstheme="minorHAnsi"/>
                <w:color w:val="000000" w:themeColor="text1"/>
                <w:lang w:eastAsia="en-IE"/>
              </w:rPr>
              <w:t>sites</w:t>
            </w:r>
            <w:proofErr w:type="gramEnd"/>
            <w:r w:rsidRPr="00B90F15">
              <w:rPr>
                <w:rFonts w:eastAsia="Times New Roman" w:cstheme="minorHAnsi"/>
                <w:color w:val="000000" w:themeColor="text1"/>
                <w:lang w:eastAsia="en-IE"/>
              </w:rPr>
              <w:t xml:space="preserve"> (within the meaning of section 1 of the Act of 1997).</w:t>
            </w:r>
          </w:p>
        </w:tc>
      </w:tr>
    </w:tbl>
    <w:p w14:paraId="67A571D0" w14:textId="77777777" w:rsidR="0075330B" w:rsidRDefault="0075330B"/>
    <w:p w14:paraId="510C1874" w14:textId="77777777" w:rsidR="00C55E00" w:rsidRPr="00B90F15" w:rsidRDefault="00C55E00" w:rsidP="00C55E00">
      <w:pPr>
        <w:rPr>
          <w:rFonts w:cstheme="minorHAnsi"/>
          <w:color w:val="000000" w:themeColor="text1"/>
          <w:lang w:val="en-US"/>
        </w:rPr>
      </w:pPr>
      <w:r>
        <w:rPr>
          <w:rFonts w:cstheme="minorHAnsi"/>
          <w:color w:val="000000" w:themeColor="text1"/>
          <w:lang w:val="en-US"/>
        </w:rPr>
        <w:t xml:space="preserve">Subsection 2 of the </w:t>
      </w:r>
      <w:r w:rsidR="00A900E7">
        <w:rPr>
          <w:rFonts w:cstheme="minorHAnsi"/>
          <w:color w:val="000000" w:themeColor="text1"/>
          <w:lang w:val="en-US"/>
        </w:rPr>
        <w:t>Act provides that an a</w:t>
      </w:r>
      <w:r>
        <w:rPr>
          <w:rFonts w:cstheme="minorHAnsi"/>
          <w:color w:val="000000" w:themeColor="text1"/>
          <w:lang w:val="en-US"/>
        </w:rPr>
        <w:t>nti-social behaviour strategy shall have as its principal objectives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C55E00" w:rsidRPr="00B90F15" w14:paraId="6874A962" w14:textId="77777777" w:rsidTr="00483891">
        <w:tc>
          <w:tcPr>
            <w:tcW w:w="0" w:type="auto"/>
            <w:shd w:val="clear" w:color="auto" w:fill="FFFFFF"/>
            <w:tcMar>
              <w:top w:w="0" w:type="dxa"/>
              <w:left w:w="0" w:type="dxa"/>
              <w:bottom w:w="0" w:type="dxa"/>
              <w:right w:w="0" w:type="dxa"/>
            </w:tcMar>
            <w:vAlign w:val="center"/>
            <w:hideMark/>
          </w:tcPr>
          <w:p w14:paraId="5812E8AA" w14:textId="77777777" w:rsidR="00C55E00" w:rsidRPr="00B90F15" w:rsidRDefault="00C55E00" w:rsidP="00483891">
            <w:pPr>
              <w:spacing w:before="120" w:after="150" w:line="240" w:lineRule="auto"/>
              <w:ind w:left="1440" w:hanging="480"/>
              <w:rPr>
                <w:rFonts w:eastAsia="Times New Roman" w:cstheme="minorHAnsi"/>
                <w:color w:val="000000" w:themeColor="text1"/>
                <w:lang w:eastAsia="en-IE"/>
              </w:rPr>
            </w:pPr>
            <w:r w:rsidRPr="00B90F15">
              <w:rPr>
                <w:rFonts w:eastAsia="Times New Roman" w:cstheme="minorHAnsi"/>
                <w:color w:val="000000" w:themeColor="text1"/>
                <w:lang w:eastAsia="en-IE"/>
              </w:rPr>
              <w:t>(</w:t>
            </w:r>
            <w:r w:rsidRPr="00B90F15">
              <w:rPr>
                <w:rFonts w:eastAsia="Times New Roman" w:cstheme="minorHAnsi"/>
                <w:i/>
                <w:iCs/>
                <w:color w:val="000000" w:themeColor="text1"/>
                <w:lang w:eastAsia="en-IE"/>
              </w:rPr>
              <w:t>a</w:t>
            </w:r>
            <w:r w:rsidRPr="00B90F15">
              <w:rPr>
                <w:rFonts w:eastAsia="Times New Roman" w:cstheme="minorHAnsi"/>
                <w:color w:val="000000" w:themeColor="text1"/>
                <w:lang w:eastAsia="en-IE"/>
              </w:rPr>
              <w:t>) the prevention and reduction of anti-social behaviour,</w:t>
            </w:r>
          </w:p>
        </w:tc>
      </w:tr>
      <w:tr w:rsidR="00C55E00" w:rsidRPr="00B90F15" w14:paraId="4705C8E2" w14:textId="77777777" w:rsidTr="00483891">
        <w:tc>
          <w:tcPr>
            <w:tcW w:w="0" w:type="auto"/>
            <w:shd w:val="clear" w:color="auto" w:fill="FFFFFF"/>
            <w:tcMar>
              <w:top w:w="0" w:type="dxa"/>
              <w:left w:w="0" w:type="dxa"/>
              <w:bottom w:w="0" w:type="dxa"/>
              <w:right w:w="0" w:type="dxa"/>
            </w:tcMar>
            <w:vAlign w:val="center"/>
            <w:hideMark/>
          </w:tcPr>
          <w:p w14:paraId="5E92F675" w14:textId="77777777" w:rsidR="00C55E00" w:rsidRPr="00B90F15" w:rsidRDefault="00C55E00" w:rsidP="00483891">
            <w:pPr>
              <w:spacing w:before="120" w:after="150" w:line="240" w:lineRule="auto"/>
              <w:ind w:left="1440" w:hanging="480"/>
              <w:rPr>
                <w:rFonts w:eastAsia="Times New Roman" w:cstheme="minorHAnsi"/>
                <w:color w:val="000000" w:themeColor="text1"/>
                <w:lang w:eastAsia="en-IE"/>
              </w:rPr>
            </w:pPr>
            <w:r w:rsidRPr="00B90F15">
              <w:rPr>
                <w:rFonts w:eastAsia="Times New Roman" w:cstheme="minorHAnsi"/>
                <w:color w:val="000000" w:themeColor="text1"/>
                <w:lang w:eastAsia="en-IE"/>
              </w:rPr>
              <w:t>(</w:t>
            </w:r>
            <w:r w:rsidRPr="00B90F15">
              <w:rPr>
                <w:rFonts w:eastAsia="Times New Roman" w:cstheme="minorHAnsi"/>
                <w:i/>
                <w:iCs/>
                <w:color w:val="000000" w:themeColor="text1"/>
                <w:lang w:eastAsia="en-IE"/>
              </w:rPr>
              <w:t>b</w:t>
            </w:r>
            <w:r w:rsidRPr="00B90F15">
              <w:rPr>
                <w:rFonts w:eastAsia="Times New Roman" w:cstheme="minorHAnsi"/>
                <w:color w:val="000000" w:themeColor="text1"/>
                <w:lang w:eastAsia="en-IE"/>
              </w:rPr>
              <w:t>) the co-ordination of services within the housing authority directed at dealing with, or preventing or reducing, anti-social behaviour,</w:t>
            </w:r>
          </w:p>
        </w:tc>
      </w:tr>
      <w:tr w:rsidR="00C55E00" w:rsidRPr="00B90F15" w14:paraId="2D5CB181" w14:textId="77777777" w:rsidTr="00483891">
        <w:tc>
          <w:tcPr>
            <w:tcW w:w="0" w:type="auto"/>
            <w:shd w:val="clear" w:color="auto" w:fill="FFFFFF"/>
            <w:tcMar>
              <w:top w:w="0" w:type="dxa"/>
              <w:left w:w="0" w:type="dxa"/>
              <w:bottom w:w="0" w:type="dxa"/>
              <w:right w:w="0" w:type="dxa"/>
            </w:tcMar>
            <w:vAlign w:val="center"/>
            <w:hideMark/>
          </w:tcPr>
          <w:p w14:paraId="43F872E6" w14:textId="77777777" w:rsidR="00C55E00" w:rsidRPr="00B90F15" w:rsidRDefault="00C55E00" w:rsidP="00483891">
            <w:pPr>
              <w:spacing w:before="120" w:after="150" w:line="240" w:lineRule="auto"/>
              <w:ind w:left="1440" w:hanging="480"/>
              <w:rPr>
                <w:rFonts w:eastAsia="Times New Roman" w:cstheme="minorHAnsi"/>
                <w:color w:val="000000" w:themeColor="text1"/>
                <w:lang w:eastAsia="en-IE"/>
              </w:rPr>
            </w:pPr>
            <w:r w:rsidRPr="00B90F15">
              <w:rPr>
                <w:rFonts w:eastAsia="Times New Roman" w:cstheme="minorHAnsi"/>
                <w:color w:val="000000" w:themeColor="text1"/>
                <w:lang w:eastAsia="en-IE"/>
              </w:rPr>
              <w:t>(</w:t>
            </w:r>
            <w:r w:rsidRPr="00B90F15">
              <w:rPr>
                <w:rFonts w:eastAsia="Times New Roman" w:cstheme="minorHAnsi"/>
                <w:i/>
                <w:iCs/>
                <w:color w:val="000000" w:themeColor="text1"/>
                <w:lang w:eastAsia="en-IE"/>
              </w:rPr>
              <w:t>c</w:t>
            </w:r>
            <w:r w:rsidRPr="00B90F15">
              <w:rPr>
                <w:rFonts w:eastAsia="Times New Roman" w:cstheme="minorHAnsi"/>
                <w:color w:val="000000" w:themeColor="text1"/>
                <w:lang w:eastAsia="en-IE"/>
              </w:rPr>
              <w:t>) the promotion of co-operation with other persons, including the Garda Síochána, in the performance of their respective functions insofar as they relate to dealing with, or the prevention or reduction of, anti-social behaviour, having regard to the need to avoid duplication of activities by the housing authority and such other persons in the performance of those functions, and</w:t>
            </w:r>
          </w:p>
        </w:tc>
      </w:tr>
      <w:tr w:rsidR="00C55E00" w:rsidRPr="00B90F15" w14:paraId="5709A69B" w14:textId="77777777" w:rsidTr="00483891">
        <w:tc>
          <w:tcPr>
            <w:tcW w:w="0" w:type="auto"/>
            <w:shd w:val="clear" w:color="auto" w:fill="FFFFFF"/>
            <w:tcMar>
              <w:top w:w="0" w:type="dxa"/>
              <w:left w:w="0" w:type="dxa"/>
              <w:bottom w:w="0" w:type="dxa"/>
              <w:right w:w="0" w:type="dxa"/>
            </w:tcMar>
            <w:vAlign w:val="center"/>
            <w:hideMark/>
          </w:tcPr>
          <w:p w14:paraId="5812746F" w14:textId="77777777" w:rsidR="00C55E00" w:rsidRPr="00B90F15" w:rsidRDefault="00C55E00" w:rsidP="00483891">
            <w:pPr>
              <w:spacing w:before="120" w:after="150" w:line="240" w:lineRule="auto"/>
              <w:ind w:left="1440" w:hanging="480"/>
              <w:rPr>
                <w:rFonts w:eastAsia="Times New Roman" w:cstheme="minorHAnsi"/>
                <w:color w:val="000000" w:themeColor="text1"/>
                <w:lang w:eastAsia="en-IE"/>
              </w:rPr>
            </w:pPr>
            <w:r w:rsidRPr="00B90F15">
              <w:rPr>
                <w:rFonts w:eastAsia="Times New Roman" w:cstheme="minorHAnsi"/>
                <w:color w:val="000000" w:themeColor="text1"/>
                <w:lang w:eastAsia="en-IE"/>
              </w:rPr>
              <w:t>(</w:t>
            </w:r>
            <w:r w:rsidRPr="00B90F15">
              <w:rPr>
                <w:rFonts w:eastAsia="Times New Roman" w:cstheme="minorHAnsi"/>
                <w:i/>
                <w:iCs/>
                <w:color w:val="000000" w:themeColor="text1"/>
                <w:lang w:eastAsia="en-IE"/>
              </w:rPr>
              <w:t>d</w:t>
            </w:r>
            <w:r w:rsidRPr="00B90F15">
              <w:rPr>
                <w:rFonts w:eastAsia="Times New Roman" w:cstheme="minorHAnsi"/>
                <w:color w:val="000000" w:themeColor="text1"/>
                <w:lang w:eastAsia="en-IE"/>
              </w:rPr>
              <w:t xml:space="preserve">) </w:t>
            </w:r>
            <w:proofErr w:type="gramStart"/>
            <w:r w:rsidRPr="00B90F15">
              <w:rPr>
                <w:rFonts w:eastAsia="Times New Roman" w:cstheme="minorHAnsi"/>
                <w:color w:val="000000" w:themeColor="text1"/>
                <w:lang w:eastAsia="en-IE"/>
              </w:rPr>
              <w:t>the</w:t>
            </w:r>
            <w:proofErr w:type="gramEnd"/>
            <w:r w:rsidRPr="00B90F15">
              <w:rPr>
                <w:rFonts w:eastAsia="Times New Roman" w:cstheme="minorHAnsi"/>
                <w:color w:val="000000" w:themeColor="text1"/>
                <w:lang w:eastAsia="en-IE"/>
              </w:rPr>
              <w:t xml:space="preserve"> promotion of good estate management.</w:t>
            </w:r>
          </w:p>
        </w:tc>
      </w:tr>
    </w:tbl>
    <w:p w14:paraId="284971CF" w14:textId="77777777" w:rsidR="00C55E00" w:rsidRDefault="00C55E00"/>
    <w:p w14:paraId="249FE273" w14:textId="77777777" w:rsidR="009E2BA9" w:rsidRDefault="00A900E7">
      <w:r>
        <w:t>Subsection 3 of the Act</w:t>
      </w:r>
      <w:r w:rsidR="00403546">
        <w:t xml:space="preserve"> states that the strategy should set</w:t>
      </w:r>
      <w:r>
        <w:t xml:space="preserve"> out the proposals of the housing authority for achieving the principal objectives referred to in subsection (2), including, but not limited to, the following;</w:t>
      </w:r>
    </w:p>
    <w:p w14:paraId="24BF1DDC" w14:textId="77777777" w:rsidR="00A900E7" w:rsidRDefault="00A900E7"/>
    <w:p w14:paraId="52E950B8" w14:textId="77777777" w:rsidR="00A900E7" w:rsidRDefault="00A900E7" w:rsidP="00A900E7">
      <w:pPr>
        <w:pStyle w:val="ListParagraph"/>
        <w:numPr>
          <w:ilvl w:val="0"/>
          <w:numId w:val="1"/>
        </w:numPr>
      </w:pPr>
      <w:r>
        <w:t>procedures in relation to the making of complaints to the</w:t>
      </w:r>
      <w:r w:rsidR="00440A94">
        <w:t xml:space="preserve"> </w:t>
      </w:r>
      <w:r>
        <w:t>housing authority in respect of anti-social behaviour;</w:t>
      </w:r>
    </w:p>
    <w:p w14:paraId="5BCA8DD7" w14:textId="77777777" w:rsidR="00A955BE" w:rsidRDefault="00A955BE" w:rsidP="00A955BE">
      <w:pPr>
        <w:pStyle w:val="ListParagraph"/>
      </w:pPr>
    </w:p>
    <w:p w14:paraId="04B059A2" w14:textId="77777777" w:rsidR="00A955BE" w:rsidRDefault="00A900E7" w:rsidP="00A955BE">
      <w:pPr>
        <w:pStyle w:val="ListParagraph"/>
        <w:numPr>
          <w:ilvl w:val="0"/>
          <w:numId w:val="1"/>
        </w:numPr>
      </w:pPr>
      <w:r>
        <w:t>initiatives for the prevention and reduction of anti-social behaviour;</w:t>
      </w:r>
    </w:p>
    <w:p w14:paraId="7C6B5E3C" w14:textId="77777777" w:rsidR="00A955BE" w:rsidRDefault="00A955BE" w:rsidP="00A955BE">
      <w:pPr>
        <w:pStyle w:val="ListParagraph"/>
        <w:spacing w:line="240" w:lineRule="auto"/>
      </w:pPr>
    </w:p>
    <w:p w14:paraId="3E0B2174" w14:textId="77777777" w:rsidR="00A900E7" w:rsidRDefault="00A900E7" w:rsidP="00A900E7">
      <w:pPr>
        <w:pStyle w:val="ListParagraph"/>
        <w:numPr>
          <w:ilvl w:val="0"/>
          <w:numId w:val="1"/>
        </w:numPr>
      </w:pPr>
      <w:r>
        <w:t>the provision of education relating to, and the carrying out of research into, anti-social behaviour and its prevention and reduction</w:t>
      </w:r>
    </w:p>
    <w:p w14:paraId="4C0F2A25" w14:textId="77777777" w:rsidR="00695EA2" w:rsidRDefault="00695EA2" w:rsidP="00695EA2">
      <w:pPr>
        <w:pStyle w:val="ListParagraph"/>
      </w:pPr>
    </w:p>
    <w:p w14:paraId="7CD0A075" w14:textId="77777777" w:rsidR="00695EA2" w:rsidRDefault="00695EA2" w:rsidP="00695EA2">
      <w:r>
        <w:t>T</w:t>
      </w:r>
      <w:r w:rsidR="003C14DA">
        <w:t>here are existing s</w:t>
      </w:r>
      <w:r>
        <w:t xml:space="preserve">trategies in place which </w:t>
      </w:r>
      <w:proofErr w:type="gramStart"/>
      <w:r>
        <w:t>were adopted</w:t>
      </w:r>
      <w:proofErr w:type="gramEnd"/>
      <w:r>
        <w:t xml:space="preserve"> by Limerick City Council and Limerick County Council prior to the creation of a single authority and which are broadly s</w:t>
      </w:r>
      <w:r w:rsidR="00527EDD">
        <w:t xml:space="preserve">imilar in nature.  </w:t>
      </w:r>
    </w:p>
    <w:p w14:paraId="6AA8B298" w14:textId="77777777" w:rsidR="00440A94" w:rsidRDefault="00440A94" w:rsidP="00695EA2">
      <w:r>
        <w:t>In drawing up a strategy a Housing Authority must consult with –</w:t>
      </w:r>
    </w:p>
    <w:p w14:paraId="64D8686E" w14:textId="77777777" w:rsidR="00440A94" w:rsidRDefault="00440A94" w:rsidP="00695EA2"/>
    <w:p w14:paraId="5D2B1D6D" w14:textId="77777777" w:rsidR="00440A94" w:rsidRDefault="00440A94" w:rsidP="00440A94">
      <w:pPr>
        <w:pStyle w:val="ListParagraph"/>
        <w:numPr>
          <w:ilvl w:val="0"/>
          <w:numId w:val="2"/>
        </w:numPr>
      </w:pPr>
      <w:r>
        <w:t>The Joint Policing Committee</w:t>
      </w:r>
    </w:p>
    <w:p w14:paraId="5A14B3CA" w14:textId="77777777" w:rsidR="00440A94" w:rsidRDefault="00440A94" w:rsidP="00440A94">
      <w:pPr>
        <w:pStyle w:val="ListParagraph"/>
      </w:pPr>
    </w:p>
    <w:p w14:paraId="67423A60" w14:textId="77777777" w:rsidR="00440A94" w:rsidRDefault="00440A94" w:rsidP="00440A94">
      <w:pPr>
        <w:pStyle w:val="ListParagraph"/>
        <w:numPr>
          <w:ilvl w:val="0"/>
          <w:numId w:val="2"/>
        </w:numPr>
      </w:pPr>
      <w:r>
        <w:t xml:space="preserve">An Garda </w:t>
      </w:r>
      <w:proofErr w:type="spellStart"/>
      <w:r>
        <w:t>Siochana</w:t>
      </w:r>
      <w:proofErr w:type="spellEnd"/>
    </w:p>
    <w:p w14:paraId="72C66796" w14:textId="77777777" w:rsidR="00440A94" w:rsidRDefault="00440A94" w:rsidP="00440A94">
      <w:pPr>
        <w:pStyle w:val="ListParagraph"/>
      </w:pPr>
    </w:p>
    <w:p w14:paraId="4080E937" w14:textId="77777777" w:rsidR="00440A94" w:rsidRDefault="00440A94" w:rsidP="00440A94">
      <w:pPr>
        <w:pStyle w:val="ListParagraph"/>
        <w:numPr>
          <w:ilvl w:val="0"/>
          <w:numId w:val="2"/>
        </w:numPr>
      </w:pPr>
      <w:r>
        <w:t>The Health Service Executive</w:t>
      </w:r>
    </w:p>
    <w:p w14:paraId="2C7FC969" w14:textId="77777777" w:rsidR="00440A94" w:rsidRDefault="00440A94" w:rsidP="00440A94">
      <w:pPr>
        <w:pStyle w:val="ListParagraph"/>
      </w:pPr>
    </w:p>
    <w:p w14:paraId="3D5E803C" w14:textId="77777777" w:rsidR="00440A94" w:rsidRDefault="00440A94" w:rsidP="00440A94">
      <w:pPr>
        <w:pStyle w:val="ListParagraph"/>
        <w:numPr>
          <w:ilvl w:val="0"/>
          <w:numId w:val="2"/>
        </w:numPr>
      </w:pPr>
      <w:r>
        <w:t>Any other person as the authority considers appropriate</w:t>
      </w:r>
    </w:p>
    <w:p w14:paraId="6D6A5563" w14:textId="77777777" w:rsidR="00695EA2" w:rsidRDefault="00695EA2" w:rsidP="00695EA2"/>
    <w:p w14:paraId="235A9DC5" w14:textId="77777777" w:rsidR="003061C9" w:rsidRDefault="00527EDD" w:rsidP="002A43BB">
      <w:pPr>
        <w:jc w:val="both"/>
        <w:rPr>
          <w:b/>
          <w:u w:val="single"/>
        </w:rPr>
      </w:pPr>
      <w:r>
        <w:rPr>
          <w:b/>
          <w:u w:val="single"/>
        </w:rPr>
        <w:t xml:space="preserve">Progress </w:t>
      </w:r>
      <w:proofErr w:type="gramStart"/>
      <w:r>
        <w:rPr>
          <w:b/>
          <w:u w:val="single"/>
        </w:rPr>
        <w:t>To</w:t>
      </w:r>
      <w:proofErr w:type="gramEnd"/>
      <w:r>
        <w:rPr>
          <w:b/>
          <w:u w:val="single"/>
        </w:rPr>
        <w:t xml:space="preserve"> Date</w:t>
      </w:r>
    </w:p>
    <w:p w14:paraId="66634A22" w14:textId="77777777" w:rsidR="00527EDD" w:rsidRDefault="00FE0641" w:rsidP="00FE0641">
      <w:pPr>
        <w:pStyle w:val="ListParagraph"/>
        <w:numPr>
          <w:ilvl w:val="0"/>
          <w:numId w:val="4"/>
        </w:numPr>
        <w:jc w:val="both"/>
      </w:pPr>
      <w:r>
        <w:t>The matter was discussed at a meeting of the Council’s Home &amp;</w:t>
      </w:r>
      <w:r w:rsidR="00FA498D">
        <w:t xml:space="preserve"> Social</w:t>
      </w:r>
      <w:r>
        <w:t xml:space="preserve"> Development SPC on </w:t>
      </w:r>
      <w:proofErr w:type="gramStart"/>
      <w:r>
        <w:t>the 15</w:t>
      </w:r>
      <w:r w:rsidRPr="00FE0641">
        <w:rPr>
          <w:vertAlign w:val="superscript"/>
        </w:rPr>
        <w:t>th</w:t>
      </w:r>
      <w:proofErr w:type="gramEnd"/>
      <w:r>
        <w:t xml:space="preserve"> June 2022. </w:t>
      </w:r>
    </w:p>
    <w:p w14:paraId="0A1FE3B4" w14:textId="77777777" w:rsidR="00FE0641" w:rsidRDefault="00FE0641" w:rsidP="00FE0641">
      <w:pPr>
        <w:pStyle w:val="ListParagraph"/>
        <w:numPr>
          <w:ilvl w:val="0"/>
          <w:numId w:val="4"/>
        </w:numPr>
        <w:jc w:val="both"/>
      </w:pPr>
      <w:r>
        <w:t xml:space="preserve">A draft Strategy document was subsequently prepared and circulated to statutory agencies such as An Garda </w:t>
      </w:r>
      <w:proofErr w:type="spellStart"/>
      <w:r>
        <w:t>Siochana</w:t>
      </w:r>
      <w:proofErr w:type="spellEnd"/>
      <w:r>
        <w:t xml:space="preserve"> and th</w:t>
      </w:r>
      <w:r w:rsidR="00C9363D">
        <w:t xml:space="preserve">e HSE, elected representatives, residents’ associations etc. In addition, the document was uploaded to </w:t>
      </w:r>
      <w:proofErr w:type="spellStart"/>
      <w:r w:rsidR="00C9363D">
        <w:t>MyPoint</w:t>
      </w:r>
      <w:proofErr w:type="spellEnd"/>
      <w:r w:rsidR="00C9363D">
        <w:t xml:space="preserve"> to allow members of the community generally to submit comments should they wish.</w:t>
      </w:r>
    </w:p>
    <w:p w14:paraId="046F32B5" w14:textId="77777777" w:rsidR="00C9363D" w:rsidRDefault="00C9363D" w:rsidP="00FE0641">
      <w:pPr>
        <w:pStyle w:val="ListParagraph"/>
        <w:numPr>
          <w:ilvl w:val="0"/>
          <w:numId w:val="4"/>
        </w:numPr>
        <w:jc w:val="both"/>
      </w:pPr>
      <w:r>
        <w:t xml:space="preserve">The document, copy of which </w:t>
      </w:r>
      <w:proofErr w:type="gramStart"/>
      <w:r>
        <w:t>is attached</w:t>
      </w:r>
      <w:proofErr w:type="gramEnd"/>
      <w:r>
        <w:t xml:space="preserve"> for the information and attention of members of the JPC, remains in draft format. It is intended, in as far as possible, to incorporate feedback from members and general submissions into a revised draft to be brought before the next scheduled meeting of the Home &amp; Social Development SPC on </w:t>
      </w:r>
      <w:proofErr w:type="gramStart"/>
      <w:r>
        <w:t>the 19</w:t>
      </w:r>
      <w:r w:rsidRPr="00C9363D">
        <w:rPr>
          <w:vertAlign w:val="superscript"/>
        </w:rPr>
        <w:t>th</w:t>
      </w:r>
      <w:proofErr w:type="gramEnd"/>
      <w:r>
        <w:t xml:space="preserve"> October 2022.</w:t>
      </w:r>
      <w:r w:rsidR="008F296D">
        <w:t xml:space="preserve"> The aim would then be to bring a final document to the December meeting of the Council for formal adoption.</w:t>
      </w:r>
    </w:p>
    <w:p w14:paraId="38F8F3B7" w14:textId="77777777" w:rsidR="003061C9" w:rsidRDefault="003061C9" w:rsidP="002A43BB">
      <w:pPr>
        <w:jc w:val="both"/>
      </w:pPr>
    </w:p>
    <w:p w14:paraId="455E6715" w14:textId="77777777" w:rsidR="003061C9" w:rsidRPr="003061C9" w:rsidRDefault="003061C9" w:rsidP="003061C9">
      <w:pPr>
        <w:pStyle w:val="NoSpacing"/>
        <w:rPr>
          <w:b/>
        </w:rPr>
      </w:pPr>
      <w:bookmarkStart w:id="4" w:name="_GoBack"/>
      <w:bookmarkEnd w:id="4"/>
      <w:r w:rsidRPr="003061C9">
        <w:rPr>
          <w:b/>
        </w:rPr>
        <w:t>Seamus Hayes</w:t>
      </w:r>
    </w:p>
    <w:p w14:paraId="51A57C00" w14:textId="77777777" w:rsidR="003061C9" w:rsidRPr="003061C9" w:rsidRDefault="003061C9" w:rsidP="003061C9">
      <w:pPr>
        <w:pStyle w:val="NoSpacing"/>
        <w:rPr>
          <w:b/>
        </w:rPr>
      </w:pPr>
      <w:r w:rsidRPr="003061C9">
        <w:rPr>
          <w:b/>
        </w:rPr>
        <w:t>Housing Services Officer</w:t>
      </w:r>
    </w:p>
    <w:p w14:paraId="5492F101" w14:textId="77777777" w:rsidR="003C14DA" w:rsidRDefault="003C14DA" w:rsidP="003C14DA">
      <w:pPr>
        <w:ind w:left="360"/>
        <w:jc w:val="both"/>
      </w:pPr>
    </w:p>
    <w:p w14:paraId="24348783" w14:textId="77777777" w:rsidR="003C14DA" w:rsidRDefault="003C14DA" w:rsidP="003C14DA">
      <w:pPr>
        <w:ind w:left="360"/>
        <w:jc w:val="both"/>
      </w:pPr>
    </w:p>
    <w:sectPr w:rsidR="003C1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0B1"/>
    <w:multiLevelType w:val="hybridMultilevel"/>
    <w:tmpl w:val="1226B90A"/>
    <w:lvl w:ilvl="0" w:tplc="43FA534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3217B4"/>
    <w:multiLevelType w:val="hybridMultilevel"/>
    <w:tmpl w:val="E70C532C"/>
    <w:lvl w:ilvl="0" w:tplc="A6B05A6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471B3E"/>
    <w:multiLevelType w:val="hybridMultilevel"/>
    <w:tmpl w:val="AF444614"/>
    <w:lvl w:ilvl="0" w:tplc="E7566D12">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0C10C55"/>
    <w:multiLevelType w:val="hybridMultilevel"/>
    <w:tmpl w:val="113A3772"/>
    <w:lvl w:ilvl="0" w:tplc="D304FD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00"/>
    <w:rsid w:val="00034660"/>
    <w:rsid w:val="002A43BB"/>
    <w:rsid w:val="003061C9"/>
    <w:rsid w:val="003C14DA"/>
    <w:rsid w:val="003F303A"/>
    <w:rsid w:val="00403546"/>
    <w:rsid w:val="00440A94"/>
    <w:rsid w:val="004B37C2"/>
    <w:rsid w:val="00527EDD"/>
    <w:rsid w:val="00635C90"/>
    <w:rsid w:val="00695EA2"/>
    <w:rsid w:val="00711F62"/>
    <w:rsid w:val="0075330B"/>
    <w:rsid w:val="008F296D"/>
    <w:rsid w:val="00930166"/>
    <w:rsid w:val="009E2BA9"/>
    <w:rsid w:val="00A900E7"/>
    <w:rsid w:val="00A955BE"/>
    <w:rsid w:val="00C55E00"/>
    <w:rsid w:val="00C9363D"/>
    <w:rsid w:val="00FA498D"/>
    <w:rsid w:val="00FE06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D943"/>
  <w15:chartTrackingRefBased/>
  <w15:docId w15:val="{BCD778B8-5141-4EDF-AA78-E4493510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E7"/>
    <w:pPr>
      <w:ind w:left="720"/>
      <w:contextualSpacing/>
    </w:pPr>
  </w:style>
  <w:style w:type="paragraph" w:styleId="BalloonText">
    <w:name w:val="Balloon Text"/>
    <w:basedOn w:val="Normal"/>
    <w:link w:val="BalloonTextChar"/>
    <w:uiPriority w:val="99"/>
    <w:semiHidden/>
    <w:unhideWhenUsed/>
    <w:rsid w:val="00711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62"/>
    <w:rPr>
      <w:rFonts w:ascii="Segoe UI" w:hAnsi="Segoe UI" w:cs="Segoe UI"/>
      <w:sz w:val="18"/>
      <w:szCs w:val="18"/>
    </w:rPr>
  </w:style>
  <w:style w:type="paragraph" w:styleId="NoSpacing">
    <w:name w:val="No Spacing"/>
    <w:uiPriority w:val="1"/>
    <w:qFormat/>
    <w:rsid w:val="003061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3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e733a04-0821-4e76-9ae2-fc1dcfab5bc4" ContentTypeId="0x010100DEFFC5202677D240AAC1A18AB658BD30" PreviousValue="false"/>
</file>

<file path=customXml/item4.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7BB39EEFAAAABB43ADE57D7822EE89CB" ma:contentTypeVersion="12" ma:contentTypeDescription="" ma:contentTypeScope="" ma:versionID="30aeb1869d8bfc56e3a0ebda1b986550">
  <xsd:schema xmlns:xsd="http://www.w3.org/2001/XMLSchema" xmlns:xs="http://www.w3.org/2001/XMLSchema" xmlns:p="http://schemas.microsoft.com/office/2006/metadata/properties" xmlns:ns2="8efb52a8-86af-420a-b243-9a528fe3c2b8" targetNamespace="http://schemas.microsoft.com/office/2006/metadata/properties" ma:root="true" ma:fieldsID="0f9d5c27cf54e2e9c4c7c5bea58ad61f"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Props1.xml><?xml version="1.0" encoding="utf-8"?>
<ds:datastoreItem xmlns:ds="http://schemas.openxmlformats.org/officeDocument/2006/customXml" ds:itemID="{01E18873-7204-48AC-856D-283612B0F342}">
  <ds:schemaRefs>
    <ds:schemaRef ds:uri="http://schemas.microsoft.com/sharepoint/v3/contenttype/forms"/>
  </ds:schemaRefs>
</ds:datastoreItem>
</file>

<file path=customXml/itemProps2.xml><?xml version="1.0" encoding="utf-8"?>
<ds:datastoreItem xmlns:ds="http://schemas.openxmlformats.org/officeDocument/2006/customXml" ds:itemID="{5F873E05-DBF1-432E-A3D5-05A670C49F4A}">
  <ds:schemaRefs>
    <ds:schemaRef ds:uri="http://schemas.microsoft.com/office/2006/metadata/customXsn"/>
  </ds:schemaRefs>
</ds:datastoreItem>
</file>

<file path=customXml/itemProps3.xml><?xml version="1.0" encoding="utf-8"?>
<ds:datastoreItem xmlns:ds="http://schemas.openxmlformats.org/officeDocument/2006/customXml" ds:itemID="{3C4DA0A1-4FE8-48BA-A4AD-381BA79A150E}">
  <ds:schemaRefs>
    <ds:schemaRef ds:uri="Microsoft.SharePoint.Taxonomy.ContentTypeSync"/>
  </ds:schemaRefs>
</ds:datastoreItem>
</file>

<file path=customXml/itemProps4.xml><?xml version="1.0" encoding="utf-8"?>
<ds:datastoreItem xmlns:ds="http://schemas.openxmlformats.org/officeDocument/2006/customXml" ds:itemID="{251EFD36-0A05-48AD-BEC8-33364BC2D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769A79-1E54-4670-94AF-1F9C1364AA45}">
  <ds:schemaRefs>
    <ds:schemaRef ds:uri="8efb52a8-86af-420a-b243-9a528fe3c2b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ASB Strategy 2022 Report To JPC</vt:lpstr>
    </vt:vector>
  </TitlesOfParts>
  <Company>Limerick City and County Council</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Strategy 2022 Report To JPC</dc:title>
  <dc:subject/>
  <dc:creator>O'Brien Slater, Aoife</dc:creator>
  <cp:keywords/>
  <dc:description/>
  <cp:lastModifiedBy>Creamer, Liz</cp:lastModifiedBy>
  <cp:revision>17</cp:revision>
  <cp:lastPrinted>2022-06-07T15:40:00Z</cp:lastPrinted>
  <dcterms:created xsi:type="dcterms:W3CDTF">2022-06-07T15:04:00Z</dcterms:created>
  <dcterms:modified xsi:type="dcterms:W3CDTF">2022-09-20T14:35:00Z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967533348</vt:i4>
  </property>
  <property fmtid="{D5CDD505-2E9C-101B-9397-08002B2CF9AE}" pid="3" name="_NewReviewCycle">
    <vt:lpwstr/>
  </property>
  <property fmtid="{D5CDD505-2E9C-101B-9397-08002B2CF9AE}" pid="4" name="_EmailSubject">
    <vt:lpwstr>JPC Meeting 23/9</vt:lpwstr>
  </property>
  <property fmtid="{D5CDD505-2E9C-101B-9397-08002B2CF9AE}" pid="5" name="_AuthorEmail">
    <vt:lpwstr>seamus.hayes@limerick.ie</vt:lpwstr>
  </property>
  <property fmtid="{D5CDD505-2E9C-101B-9397-08002B2CF9AE}" pid="6" name="_AuthorEmailDisplayName">
    <vt:lpwstr>Hayes, Seamus</vt:lpwstr>
  </property>
  <property fmtid="{D5CDD505-2E9C-101B-9397-08002B2CF9AE}" pid="7" name="_PreviousAdHocReviewCycleID">
    <vt:i4>-1303590108</vt:i4>
  </property>
  <property fmtid="{D5CDD505-2E9C-101B-9397-08002B2CF9AE}" pid="8" name="ContentTypeId">
    <vt:lpwstr>0x010100DEFFC5202677D240AAC1A18AB658BD30007BB39EEFAAAABB43ADE57D7822EE89CB</vt:lpwstr>
  </property>
  <property fmtid="{D5CDD505-2E9C-101B-9397-08002B2CF9AE}" pid="9" name="Order">
    <vt:r8>5800</vt:r8>
  </property>
  <property fmtid="{D5CDD505-2E9C-101B-9397-08002B2CF9AE}" pid="10" name="_ReviewingToolsShownOnce">
    <vt:lpwstr/>
  </property>
</Properties>
</file>